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Bright Minds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Cormorant Asset Management,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900,000.00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900,000.00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9.17 %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Bihua Chen</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900,000.00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900,000.00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9.17 %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34"/>
        <w:gridCol w:w="8916"/>
        <w:gridCol w:w="155"/>
      </w:tblGrid>
      <w:tr>
        <w:trPr/>
        <w:tc>
          <w:tcPr>
            <w:tcW w:w="1134" w:type="dxa"/>
            <w:tcBorders/>
            <w:vAlign w:val="center"/>
          </w:tcPr>
          <w:p>
            <w:pPr>
              <w:pStyle w:val="TableContents"/>
              <w:bidi w:val="0"/>
              <w:spacing w:before="0" w:after="283"/>
              <w:jc w:val="left"/>
              <w:rPr/>
            </w:pPr>
            <w:r>
              <w:rPr/>
              <w:t>Item 1.</w:t>
            </w:r>
          </w:p>
        </w:tc>
        <w:tc>
          <w:tcPr>
            <w:tcW w:w="891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Name of issuer: </w:t>
            </w:r>
          </w:p>
          <w:p>
            <w:pPr>
              <w:pStyle w:val="TableContents"/>
              <w:bidi w:val="0"/>
              <w:spacing w:before="0" w:after="0"/>
              <w:jc w:val="left"/>
              <w:rPr/>
            </w:pPr>
            <w:r>
              <w:rPr/>
              <w:t>Bright Minds Biosciences Inc.</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400 N Aberdeen Street, Suite 900, Chicago, IL 60642</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2.</w:t>
            </w:r>
          </w:p>
        </w:tc>
        <w:tc>
          <w:tcPr>
            <w:tcW w:w="891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Name of person filing: </w:t>
            </w:r>
          </w:p>
          <w:p>
            <w:pPr>
              <w:pStyle w:val="TableContents"/>
              <w:bidi w:val="0"/>
              <w:spacing w:before="0" w:after="0"/>
              <w:jc w:val="left"/>
              <w:rPr/>
            </w:pPr>
            <w:r>
              <w:rPr/>
              <w:t>Cormorant Asset Management, LP Bihua Chen This statement is filed by (i) Cormorant Asset Management, LP, a Delaware limited partnership, and the investment adviser to certain funds (the "Cormorant Funds"), with respect to the shares directly held by the Cormorant Funds and (ii) Bihua Chen with respect to the shares directly held by the Cormorant Funds. The foregoing persons are hereinafter sometimes collectively referred to as the "Reporting Persons." The filing of this statement should not be construed as an admission that any of the foregoing persons or any Reporting Person is, for the purposes of Section 13 of the Act, the beneficial owner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200 Clarendon Street, 50th Floor Boston, MA 02116</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jc w:val="left"/>
              <w:rPr/>
            </w:pPr>
            <w:r>
              <w:rPr/>
              <w:t xml:space="preserve">Citizenship: </w:t>
            </w:r>
          </w:p>
          <w:p>
            <w:pPr>
              <w:pStyle w:val="TableContents"/>
              <w:bidi w:val="0"/>
              <w:spacing w:before="0" w:after="0"/>
              <w:jc w:val="left"/>
              <w:rPr/>
            </w:pPr>
            <w:r>
              <w:rPr/>
              <w:t>Cormorant Asset Management, LP - Delaware Bihua Chen - United States</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(d)</w:t>
            </w:r>
          </w:p>
        </w:tc>
        <w:tc>
          <w:tcPr>
            <w:tcW w:w="891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(e)</w:t>
            </w:r>
          </w:p>
        </w:tc>
        <w:tc>
          <w:tcPr>
            <w:tcW w:w="891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3.</w:t>
            </w:r>
          </w:p>
        </w:tc>
        <w:tc>
          <w:tcPr>
            <w:tcW w:w="891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(d)</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(e)</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(f)</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(g)</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(h)</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(j)</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(k)</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9071" w:type="dxa"/>
            <w:gridSpan w:val="2"/>
            <w:tcBorders/>
            <w:vAlign w:val="center"/>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4.</w:t>
            </w:r>
          </w:p>
        </w:tc>
        <w:tc>
          <w:tcPr>
            <w:tcW w:w="891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900,000</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9.17%  %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900,000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900,000 The percentages reported herein with respect to the Reporting Persons' holdings are calculated based upon a statement in the Issuer's Management Discussion and Analysis attached as Exhibit 99.2 to the Report of Foreign Private Issuer on Form 6-K filed with the Securities and Exchange Commission on May 20, 2026 that there were 9,812,061 Common Shares outstanding as of May 15,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5.</w:t>
            </w:r>
          </w:p>
        </w:tc>
        <w:tc>
          <w:tcPr>
            <w:tcW w:w="891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6.</w:t>
            </w:r>
          </w:p>
        </w:tc>
        <w:tc>
          <w:tcPr>
            <w:tcW w:w="891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 The Cormorant Funds have the right to receive or the power to direct the receipt of dividends from, or the proceeds from the sale of, the shares reported herein. Cormorant Global Healthcare Master Fund, LP, a Cormorant Fund, has the right to receive or the power to direct the receipt of dividends or the proceeds from the sale of more than 5% of the shares.</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7.</w:t>
            </w:r>
          </w:p>
        </w:tc>
        <w:tc>
          <w:tcPr>
            <w:tcW w:w="891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8.</w:t>
            </w:r>
          </w:p>
        </w:tc>
        <w:tc>
          <w:tcPr>
            <w:tcW w:w="891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9.</w:t>
            </w:r>
          </w:p>
        </w:tc>
        <w:tc>
          <w:tcPr>
            <w:tcW w:w="891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154" w:type="dxa"/>
        <w:jc w:val="left"/>
        <w:tblInd w:w="0" w:type="dxa"/>
        <w:tblLayout w:type="fixed"/>
        <w:tblCellMar>
          <w:top w:w="28" w:type="dxa"/>
          <w:left w:w="28" w:type="dxa"/>
          <w:bottom w:w="28" w:type="dxa"/>
          <w:right w:w="28" w:type="dxa"/>
        </w:tblCellMar>
      </w:tblPr>
      <w:tblGrid>
        <w:gridCol w:w="3577"/>
        <w:gridCol w:w="3577"/>
      </w:tblGrid>
      <w:tr>
        <w:trPr/>
        <w:tc>
          <w:tcPr>
            <w:tcW w:w="3577" w:type="dxa"/>
            <w:tcBorders/>
            <w:vAlign w:val="center"/>
          </w:tcPr>
          <w:p>
            <w:pPr>
              <w:pStyle w:val="TableContents"/>
              <w:bidi w:val="0"/>
              <w:spacing w:before="0" w:after="0"/>
              <w:jc w:val="left"/>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0"/>
                    <w:jc w:val="left"/>
                    <w:rPr/>
                  </w:pPr>
                  <w:r>
                    <w:rPr/>
                    <w:t>Cormorant Asset Management, LP</w:t>
                  </w:r>
                </w:p>
              </w:tc>
            </w:tr>
          </w:tbl>
          <w:p>
            <w:pPr>
              <w:pStyle w:val="TableContents"/>
              <w:bidi w:val="0"/>
              <w:spacing w:before="0" w:after="283"/>
              <w:jc w:val="left"/>
              <w:rPr/>
            </w:pPr>
            <w:r>
              <w:rPr/>
            </w:r>
          </w:p>
        </w:tc>
        <w:tc>
          <w:tcPr>
            <w:tcW w:w="35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Bihua Chen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Bihua Chen, Managing Member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2838" w:type="dxa"/>
        <w:jc w:val="left"/>
        <w:tblInd w:w="0" w:type="dxa"/>
        <w:tblLayout w:type="fixed"/>
        <w:tblCellMar>
          <w:top w:w="28" w:type="dxa"/>
          <w:left w:w="28" w:type="dxa"/>
          <w:bottom w:w="28" w:type="dxa"/>
          <w:right w:w="28" w:type="dxa"/>
        </w:tblCellMar>
      </w:tblPr>
      <w:tblGrid>
        <w:gridCol w:w="1419"/>
        <w:gridCol w:w="1419"/>
      </w:tblGrid>
      <w:tr>
        <w:trPr/>
        <w:tc>
          <w:tcPr>
            <w:tcW w:w="1419" w:type="dxa"/>
            <w:tcBorders/>
            <w:vAlign w:val="center"/>
          </w:tcPr>
          <w:p>
            <w:pPr>
              <w:pStyle w:val="TableContents"/>
              <w:bidi w:val="0"/>
              <w:spacing w:before="0" w:after="0"/>
              <w:jc w:val="left"/>
              <w:rPr/>
            </w:pPr>
            <w:r>
              <w:rPr/>
              <w:t> </w:t>
            </w:r>
          </w:p>
          <w:tbl>
            <w:tblPr>
              <w:tblW w:w="1306" w:type="dxa"/>
              <w:jc w:val="left"/>
              <w:tblInd w:w="0" w:type="dxa"/>
              <w:tblLayout w:type="fixed"/>
              <w:tblCellMar>
                <w:top w:w="28" w:type="dxa"/>
                <w:left w:w="28" w:type="dxa"/>
                <w:bottom w:w="28" w:type="dxa"/>
                <w:right w:w="28" w:type="dxa"/>
              </w:tblCellMar>
            </w:tblPr>
            <w:tblGrid>
              <w:gridCol w:w="1306"/>
            </w:tblGrid>
            <w:tr>
              <w:trPr/>
              <w:tc>
                <w:tcPr>
                  <w:tcW w:w="1306" w:type="dxa"/>
                  <w:tcBorders/>
                  <w:vAlign w:val="center"/>
                </w:tcPr>
                <w:p>
                  <w:pPr>
                    <w:pStyle w:val="TableContents"/>
                    <w:bidi w:val="0"/>
                    <w:spacing w:before="0" w:after="0"/>
                    <w:jc w:val="left"/>
                    <w:rPr/>
                  </w:pPr>
                  <w:r>
                    <w:rPr/>
                    <w:t>Bihua Chen</w:t>
                  </w:r>
                </w:p>
              </w:tc>
            </w:tr>
          </w:tbl>
          <w:p>
            <w:pPr>
              <w:pStyle w:val="TableContents"/>
              <w:bidi w:val="0"/>
              <w:spacing w:before="0" w:after="283"/>
              <w:jc w:val="left"/>
              <w:rPr/>
            </w:pPr>
            <w:r>
              <w:rPr/>
            </w:r>
          </w:p>
        </w:tc>
        <w:tc>
          <w:tcPr>
            <w:tcW w:w="1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3"/>
        <w:gridCol w:w="4492"/>
      </w:tblGrid>
      <w:tr>
        <w:trPr/>
        <w:tc>
          <w:tcPr>
            <w:tcW w:w="57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Bihua Chen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Bihua Chen</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Joint Filing Statement, incorporated by reference to the Joint Filing Statement included with the Schedule 13G filed by the Reporting Persons on October 22, 2024.</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1215</Words>
  <Characters>6192</Characters>
  <CharactersWithSpaces>7376</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