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0" w:name="form6k.htm"/>
      <w:bookmarkStart w:id="1" w:name="ksform6k"/>
      <w:bookmarkStart w:id="2" w:name="form6k.htm"/>
      <w:bookmarkStart w:id="3" w:name="ksform6k"/>
      <w:bookmarkEnd w:id="2"/>
      <w:bookmarkEnd w:id="3"/>
    </w:p>
    <w:p>
      <w:pPr>
        <w:pStyle w:val="TextBody"/>
        <w:bidi w:val="0"/>
        <w:spacing w:before="200" w:after="200"/>
        <w:jc w:val="center"/>
        <w:rPr/>
      </w:pPr>
      <w:bookmarkStart w:id="4" w:name="page_1"/>
      <w:bookmarkEnd w:id="4"/>
      <w:r>
        <w:rPr>
          <w:b/>
          <w:sz w:val="36"/>
        </w:rPr>
        <w:t>UNITED STATES</w:t>
      </w:r>
      <w:r>
        <w:rPr/>
        <w:br/>
      </w:r>
      <w:r>
        <w:rPr>
          <w:b/>
          <w:sz w:val="36"/>
        </w:rPr>
        <w:t>SECURITIES AND EXCHANGE COMMISSION</w:t>
      </w:r>
      <w:r>
        <w:rPr/>
        <w:br/>
        <w:t>Washington, D.C.  20549</w:t>
      </w:r>
    </w:p>
    <w:p>
      <w:pPr>
        <w:pStyle w:val="TextBody"/>
        <w:bidi w:val="0"/>
        <w:spacing w:before="200" w:after="200"/>
        <w:jc w:val="center"/>
        <w:rPr>
          <w:b/>
          <w:sz w:val="36"/>
        </w:rPr>
      </w:pPr>
      <w:r>
        <w:rPr>
          <w:b/>
          <w:sz w:val="36"/>
        </w:rPr>
        <w:t>FORM 6-K</w:t>
      </w:r>
    </w:p>
    <w:p>
      <w:pPr>
        <w:pStyle w:val="TextBody"/>
        <w:bidi w:val="0"/>
        <w:spacing w:before="200" w:after="200"/>
        <w:jc w:val="center"/>
        <w:rPr>
          <w:b/>
        </w:rPr>
      </w:pPr>
      <w:r>
        <w:rPr>
          <w:b/>
        </w:rPr>
        <w:t>REPORT OF FOREIGN PRIVATE ISSUER PURSUANT TO RULE 13a-16 OR 15d-16</w:t>
        <w:br/>
        <w:t>UNDER THE SECURITIES EXCHANGE ACT OF 1934</w:t>
      </w:r>
    </w:p>
    <w:p>
      <w:pPr>
        <w:pStyle w:val="TextBody"/>
        <w:bidi w:val="0"/>
        <w:spacing w:before="200" w:after="200"/>
        <w:jc w:val="center"/>
        <w:rPr/>
      </w:pPr>
      <w:r>
        <w:rPr/>
        <w:t xml:space="preserve">For the month of </w:t>
      </w:r>
      <w:r>
        <w:rPr>
          <w:b/>
          <w:u w:val="single"/>
        </w:rPr>
        <w:t>October 2026</w:t>
      </w:r>
    </w:p>
    <w:p>
      <w:pPr>
        <w:pStyle w:val="TextBody"/>
        <w:bidi w:val="0"/>
        <w:spacing w:before="200" w:after="200"/>
        <w:jc w:val="center"/>
        <w:rPr/>
      </w:pPr>
      <w:r>
        <w:rPr/>
        <w:t xml:space="preserve">Commission File No. </w:t>
      </w:r>
      <w:r>
        <w:rPr>
          <w:b/>
          <w:u w:val="single"/>
        </w:rPr>
        <w:t>001-40997</w:t>
      </w:r>
    </w:p>
    <w:p>
      <w:pPr>
        <w:pStyle w:val="TextBody"/>
        <w:bidi w:val="0"/>
        <w:spacing w:before="200" w:after="200"/>
        <w:jc w:val="center"/>
        <w:rPr/>
      </w:pPr>
      <w:r>
        <w:rPr>
          <w:b/>
          <w:sz w:val="36"/>
          <w:u w:val="single"/>
        </w:rPr>
        <w:t>BRIGHT MINDS BIOSCIENCES INC.</w:t>
      </w:r>
      <w:r>
        <w:rPr/>
        <w:br/>
        <w:t>(Translation of registrant's name into English)</w:t>
      </w:r>
    </w:p>
    <w:tbl>
      <w:tblPr>
        <w:tblW w:w="63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60"/>
        <w:gridCol w:w="3350"/>
      </w:tblGrid>
      <w:tr>
        <w:trPr/>
        <w:tc>
          <w:tcPr>
            <w:tcW w:w="2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b/>
              </w:rPr>
              <w:t>400 N Aberdeen St Suite 900</w:t>
            </w:r>
            <w:r>
              <w:rPr/>
              <w:br/>
            </w:r>
            <w:r>
              <w:rPr>
                <w:b/>
                <w:u w:val="single"/>
              </w:rPr>
              <w:t>Chicago, IL 60642</w:t>
            </w:r>
            <w:r>
              <w:rPr/>
              <w:br/>
              <w:t>(U.S. Corporate headquarters)</w:t>
            </w:r>
          </w:p>
        </w:tc>
        <w:tc>
          <w:tcPr>
            <w:tcW w:w="3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b/>
              </w:rPr>
              <w:t>1122 Mainland St #228</w:t>
            </w:r>
            <w:r>
              <w:rPr/>
              <w:br/>
            </w:r>
            <w:r>
              <w:rPr>
                <w:b/>
                <w:u w:val="single"/>
              </w:rPr>
              <w:t>Vancouver, BC V6B 5L1</w:t>
            </w:r>
            <w:r>
              <w:rPr/>
              <w:br/>
              <w:t>(Canadian Corporate headquarters)</w:t>
            </w:r>
          </w:p>
        </w:tc>
      </w:tr>
    </w:tbl>
    <w:p>
      <w:pPr>
        <w:pStyle w:val="TextBody"/>
        <w:bidi w:val="0"/>
        <w:spacing w:before="200" w:after="200"/>
        <w:jc w:val="both"/>
        <w:rPr/>
      </w:pPr>
      <w:r>
        <w:rPr/>
        <w:t>Indicate by check mark whether the registrant files or will file annual reports under cover of Form 20-F or Form 40-F</w:t>
      </w:r>
    </w:p>
    <w:p>
      <w:pPr>
        <w:pStyle w:val="TextBody"/>
        <w:bidi w:val="0"/>
        <w:spacing w:before="200" w:after="200"/>
        <w:jc w:val="center"/>
        <w:rPr/>
      </w:pPr>
      <w:r>
        <w:rPr/>
        <w:t xml:space="preserve">Form 20-F  [ ]  </w:t>
      </w:r>
      <w:r>
        <w:rPr>
          <w:b/>
        </w:rPr>
        <w:t>Form 40-F [ X ]</w:t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shd w:fill="FFFFFF" w:val="clear"/>
        <w:bidi w:val="0"/>
        <w:spacing w:before="200" w:after="200"/>
        <w:jc w:val="center"/>
        <w:rPr>
          <w:b/>
        </w:rPr>
      </w:pPr>
      <w:bookmarkStart w:id="5" w:name="page_2"/>
      <w:bookmarkEnd w:id="5"/>
      <w:r>
        <w:rPr>
          <w:b/>
        </w:rPr>
        <w:t>INCORPORATION BY REFERENCE</w:t>
      </w:r>
    </w:p>
    <w:p>
      <w:pPr>
        <w:pStyle w:val="TextBody"/>
        <w:shd w:fill="FFFFFF" w:val="clear"/>
        <w:bidi w:val="0"/>
        <w:spacing w:before="200" w:after="200"/>
        <w:jc w:val="both"/>
        <w:rPr/>
      </w:pPr>
      <w:r>
        <w:rPr/>
        <w:t>Exhibit 99.1 to this Report of Foreign Private Issuer on Form 6-K are incorporated by reference into our (i) registration statement on Form F-3 (File No. 333-284694) filed on February 5, 2025, and (ii) registration statement on Form F-3 (File No. 333-289851) filed on August 26, 2025.</w:t>
      </w:r>
    </w:p>
    <w:p>
      <w:pPr>
        <w:pStyle w:val="TextBody"/>
        <w:shd w:fill="FFFFFF" w:val="clear"/>
        <w:bidi w:val="0"/>
        <w:spacing w:before="200" w:after="200"/>
        <w:jc w:val="center"/>
        <w:rPr>
          <w:b/>
        </w:rPr>
      </w:pPr>
      <w:r>
        <w:rPr>
          <w:b/>
        </w:rPr>
        <w:t>SUBMITTED HEREWITH</w:t>
      </w:r>
    </w:p>
    <w:tbl>
      <w:tblPr>
        <w:tblW w:w="32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5"/>
        <w:gridCol w:w="2405"/>
      </w:tblGrid>
      <w:tr>
        <w:trPr/>
        <w:tc>
          <w:tcPr>
            <w:tcW w:w="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>
                <w:b/>
                <w:u w:val="single"/>
              </w:rPr>
            </w:pPr>
            <w:r>
              <w:rPr>
                <w:b/>
                <w:u w:val="single"/>
              </w:rPr>
              <w:t>Exhibits</w:t>
            </w:r>
          </w:p>
        </w:tc>
        <w:tc>
          <w:tcPr>
            <w:tcW w:w="24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hyperlink w:anchor="exhibit99-1.htm">
              <w:r>
                <w:rPr>
                  <w:rStyle w:val="InternetLink"/>
                </w:rPr>
                <w:t>99.1</w:t>
              </w:r>
            </w:hyperlink>
          </w:p>
        </w:tc>
        <w:tc>
          <w:tcPr>
            <w:tcW w:w="240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exhibit99-1.htm">
              <w:r>
                <w:rPr>
                  <w:rStyle w:val="InternetLink"/>
                </w:rPr>
                <w:t>Report of Voting Results</w:t>
              </w:r>
            </w:hyperlink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>
          <w:b/>
        </w:rPr>
      </w:pPr>
      <w:bookmarkStart w:id="6" w:name="page_3"/>
      <w:bookmarkEnd w:id="6"/>
      <w:r>
        <w:rPr>
          <w:b/>
        </w:rPr>
        <w:t>SIGNATURE</w:t>
      </w:r>
    </w:p>
    <w:p>
      <w:pPr>
        <w:pStyle w:val="TextBody"/>
        <w:bidi w:val="0"/>
        <w:spacing w:before="200" w:after="200"/>
        <w:jc w:val="both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200" w:after="200"/>
        <w:jc w:val="both"/>
        <w:rPr>
          <w:b/>
        </w:rPr>
      </w:pPr>
      <w:r>
        <w:rPr>
          <w:b/>
        </w:rPr>
        <w:t>BRIGHT MINDS BIOSCIENCES INC.</w:t>
      </w:r>
    </w:p>
    <w:p>
      <w:pPr>
        <w:pStyle w:val="TextBody"/>
        <w:bidi w:val="0"/>
        <w:spacing w:before="200" w:after="0"/>
        <w:jc w:val="both"/>
        <w:rPr/>
      </w:pPr>
      <w:r>
        <w:rPr>
          <w:u w:val="single"/>
        </w:rPr>
        <w:t>"</w:t>
      </w:r>
      <w:r>
        <w:rPr>
          <w:i/>
          <w:u w:val="single"/>
        </w:rPr>
        <w:t>Ryan Cheung</w:t>
      </w:r>
      <w:r>
        <w:rPr>
          <w:u w:val="single"/>
        </w:rPr>
        <w:t>"                                            </w:t>
      </w:r>
    </w:p>
    <w:p>
      <w:pPr>
        <w:pStyle w:val="TextBody"/>
        <w:bidi w:val="0"/>
        <w:spacing w:before="0" w:after="200"/>
        <w:jc w:val="both"/>
        <w:rPr/>
      </w:pPr>
      <w:r>
        <w:rPr/>
        <w:t>Ryan Cheung</w:t>
        <w:br/>
        <w:t>Chief Financial Officer</w:t>
      </w:r>
    </w:p>
    <w:p>
      <w:pPr>
        <w:pStyle w:val="TextBody"/>
        <w:bidi w:val="0"/>
        <w:spacing w:before="200" w:after="200"/>
        <w:jc w:val="both"/>
        <w:rPr/>
      </w:pPr>
      <w:r>
        <w:rPr/>
        <w:t>Date:  October 2, 2026</w:t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7" w:name="exhibit99-1.htm"/>
      <w:bookmarkStart w:id="8" w:name="ksexhibit991"/>
      <w:bookmarkStart w:id="9" w:name="exhibit99-1.htm"/>
      <w:bookmarkStart w:id="10" w:name="ksexhibit991"/>
      <w:bookmarkEnd w:id="9"/>
      <w:bookmarkEnd w:id="10"/>
      <w:r>
        <w:br w:type="page"/>
      </w:r>
    </w:p>
    <w:p>
      <w:pPr>
        <w:pStyle w:val="TextBody"/>
        <w:bidi w:val="0"/>
        <w:spacing w:before="200" w:after="200"/>
        <w:jc w:val="center"/>
        <w:rPr/>
      </w:pPr>
      <w:bookmarkStart w:id="11" w:name="page_11"/>
      <w:bookmarkEnd w:id="11"/>
      <w:r>
        <w:rPr/>
        <w:drawing>
          <wp:inline distT="0" distB="0" distL="0" distR="0">
            <wp:extent cx="1447800" cy="11049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200" w:after="200"/>
        <w:jc w:val="center"/>
        <w:rPr>
          <w:b/>
        </w:rPr>
      </w:pPr>
      <w:r>
        <w:rPr>
          <w:b/>
        </w:rPr>
        <w:t>REPORT OF VOTING RESULTS</w:t>
      </w:r>
    </w:p>
    <w:p>
      <w:pPr>
        <w:pStyle w:val="TextBody"/>
        <w:bidi w:val="0"/>
        <w:spacing w:before="200" w:after="200"/>
        <w:jc w:val="both"/>
        <w:rPr/>
      </w:pPr>
      <w:r>
        <w:rPr/>
        <w:t xml:space="preserve">Pursuant to Section 11.3 of National Instrument 51-102 - </w:t>
      </w:r>
      <w:r>
        <w:rPr>
          <w:i/>
        </w:rPr>
        <w:t xml:space="preserve">Continuous Disclosure Obligations, </w:t>
      </w:r>
      <w:r>
        <w:rPr/>
        <w:t xml:space="preserve">the following is the report on voting results for the annual general meeting of shareholders of Bright Minds Biosciences Inc. ("the </w:t>
      </w:r>
      <w:r>
        <w:rPr>
          <w:b/>
        </w:rPr>
        <w:t>Company</w:t>
      </w:r>
      <w:r>
        <w:rPr/>
        <w:t>") held on March 31, 2026 (the "</w:t>
      </w:r>
      <w:r>
        <w:rPr>
          <w:b/>
        </w:rPr>
        <w:t>Meeting</w:t>
      </w:r>
      <w:r>
        <w:rPr/>
        <w:t>").</w:t>
      </w:r>
    </w:p>
    <w:p>
      <w:pPr>
        <w:pStyle w:val="TextBody"/>
        <w:bidi w:val="0"/>
        <w:spacing w:before="200" w:after="200"/>
        <w:jc w:val="both"/>
        <w:rPr/>
      </w:pPr>
      <w:r>
        <w:rPr/>
        <w:t>The Company reports that a total of 7,877,637 common shares were voted at the Meeting, representing 80.49% of the votes attached to the common shares outstanding as of the record date for the Meeting.  Voting results on the resolutions were as follows:</w:t>
      </w:r>
    </w:p>
    <w:p>
      <w:pPr>
        <w:pStyle w:val="TextBody"/>
        <w:bidi w:val="0"/>
        <w:spacing w:before="0" w:after="200"/>
        <w:jc w:val="both"/>
        <w:rPr/>
      </w:pPr>
      <w:r>
        <w:rPr>
          <w:b/>
        </w:rPr>
        <w:t>1.</w:t>
      </w:r>
      <w:r>
        <w:rPr/>
        <w:t> </w:t>
      </w:r>
      <w:r>
        <w:rPr>
          <w:b/>
        </w:rPr>
        <w:t>Election of Directors</w:t>
      </w:r>
    </w:p>
    <w:p>
      <w:pPr>
        <w:pStyle w:val="TextBody"/>
        <w:bidi w:val="0"/>
        <w:spacing w:before="0" w:after="200"/>
        <w:jc w:val="both"/>
        <w:rPr/>
      </w:pPr>
      <w:r>
        <w:rPr/>
        <w:t>The six nominees for election to the Board of Directors received votes as follows.</w:t>
      </w:r>
    </w:p>
    <w:tbl>
      <w:tblPr>
        <w:tblW w:w="7540" w:type="dxa"/>
        <w:jc w:val="left"/>
        <w:tblInd w:w="48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1445"/>
        <w:gridCol w:w="60"/>
        <w:gridCol w:w="1025"/>
        <w:gridCol w:w="60"/>
        <w:gridCol w:w="1325"/>
        <w:gridCol w:w="60"/>
        <w:gridCol w:w="1595"/>
        <w:gridCol w:w="60"/>
        <w:gridCol w:w="1910"/>
      </w:tblGrid>
      <w:tr>
        <w:trPr/>
        <w:tc>
          <w:tcPr>
            <w:tcW w:w="1445" w:type="dxa"/>
            <w:tcBorders>
              <w:bottom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Nominee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>
              <w:bottom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Votes For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>
              <w:bottom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% Votes For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>
              <w:bottom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Votes Withheld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>
              <w:bottom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% Votes Withheld</w:t>
            </w:r>
          </w:p>
        </w:tc>
      </w:tr>
      <w:tr>
        <w:trPr/>
        <w:tc>
          <w:tcPr>
            <w:tcW w:w="144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44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Ian McDonald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7,564,151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99.99%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492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0.01%</w:t>
            </w:r>
          </w:p>
        </w:tc>
      </w:tr>
      <w:tr>
        <w:trPr/>
        <w:tc>
          <w:tcPr>
            <w:tcW w:w="144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Nils Bottler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6,789,827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89.76%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774,816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10.24%</w:t>
            </w:r>
          </w:p>
        </w:tc>
      </w:tr>
      <w:tr>
        <w:trPr/>
        <w:tc>
          <w:tcPr>
            <w:tcW w:w="144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Jeremy Fryzuk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7,384,419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97.62%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180,224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2.38%</w:t>
            </w:r>
          </w:p>
        </w:tc>
      </w:tr>
      <w:tr>
        <w:trPr/>
        <w:tc>
          <w:tcPr>
            <w:tcW w:w="144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Jan Pedersen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6,995,861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92.48%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568,782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7.52%</w:t>
            </w:r>
          </w:p>
        </w:tc>
      </w:tr>
      <w:tr>
        <w:trPr/>
        <w:tc>
          <w:tcPr>
            <w:tcW w:w="144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David Weiner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7,384,084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97.61%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180,559</w:t>
            </w:r>
          </w:p>
        </w:tc>
        <w:tc>
          <w:tcPr>
            <w:tcW w:w="6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/>
            <w:shd w:fill="E6EF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2.39%</w:t>
            </w:r>
          </w:p>
        </w:tc>
      </w:tr>
      <w:tr>
        <w:trPr/>
        <w:tc>
          <w:tcPr>
            <w:tcW w:w="144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Steve Farr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7,564,376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2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100.00%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9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267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91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0.00%</w:t>
            </w:r>
          </w:p>
        </w:tc>
      </w:tr>
    </w:tbl>
    <w:p>
      <w:pPr>
        <w:pStyle w:val="TextBody"/>
        <w:bidi w:val="0"/>
        <w:spacing w:before="200" w:after="200"/>
        <w:jc w:val="left"/>
        <w:rPr/>
      </w:pPr>
      <w:r>
        <w:rPr>
          <w:b/>
        </w:rPr>
        <w:t>2. Appointment of Auditors</w:t>
      </w:r>
      <w:r>
        <w:rPr/>
        <w:t> </w:t>
      </w:r>
    </w:p>
    <w:p>
      <w:pPr>
        <w:pStyle w:val="TextBody"/>
        <w:bidi w:val="0"/>
        <w:spacing w:before="200" w:after="0"/>
        <w:jc w:val="both"/>
        <w:rPr/>
      </w:pPr>
      <w:r>
        <w:rPr/>
        <w:t>De Visser Gray LLP, Chartered Professional Accountants, were appointed as the auditor of the Company. Shares voted in person and by proxy represented 7,872,821 votes FOR, being 99.94% and 4,816 votes WITHHELD, being 0.06%.</w:t>
      </w:r>
    </w:p>
    <w:p>
      <w:pPr>
        <w:pStyle w:val="HorizontalLine"/>
        <w:pBdr>
          <w:bottom w:val="single" w:sz="30" w:space="0" w:color="00000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396</Words>
  <Characters>2130</Characters>
  <CharactersWithSpaces>2550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