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2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8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17" w:lineRule="exact"/>
        <w:rPr>
          <w:sz w:val="24"/>
          <w:szCs w:val="24"/>
          <w:color w:val="auto"/>
        </w:rPr>
      </w:pPr>
    </w:p>
    <w:p>
      <w:pPr>
        <w:jc w:val="center"/>
        <w:ind w:left="1720" w:right="20"/>
        <w:spacing w:after="0" w:line="270"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4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9"/>
          <w:szCs w:val="19"/>
          <w:color w:val="auto"/>
        </w:rPr>
        <w:t xml:space="preserve">For the month of </w:t>
      </w:r>
      <w:r>
        <w:rPr>
          <w:rFonts w:ascii="Times New Roman" w:cs="Times New Roman" w:eastAsia="Times New Roman" w:hAnsi="Times New Roman"/>
          <w:sz w:val="19"/>
          <w:szCs w:val="19"/>
          <w:b w:val="1"/>
          <w:bCs w:val="1"/>
          <w:color w:val="auto"/>
        </w:rPr>
        <w:t>May 2026</w:t>
      </w:r>
    </w:p>
    <w:p>
      <w:pPr>
        <w:spacing w:after="0" w:line="21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9"/>
          <w:szCs w:val="19"/>
          <w:color w:val="auto"/>
        </w:rPr>
        <w:t xml:space="preserve">Commission File No. </w:t>
      </w:r>
      <w:r>
        <w:rPr>
          <w:rFonts w:ascii="Times New Roman" w:cs="Times New Roman" w:eastAsia="Times New Roman" w:hAnsi="Times New Roman"/>
          <w:sz w:val="19"/>
          <w:szCs w:val="19"/>
          <w:b w:val="1"/>
          <w:bCs w:val="1"/>
          <w:color w:val="auto"/>
        </w:rPr>
        <w:t>001-40997</w:t>
      </w:r>
    </w:p>
    <w:p>
      <w:pPr>
        <w:spacing w:after="0" w:line="20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3"/>
          <w:szCs w:val="23"/>
          <w:b w:val="1"/>
          <w:bCs w:val="1"/>
          <w:u w:val="single" w:color="auto"/>
          <w:color w:val="auto"/>
        </w:rPr>
        <w:t>BRIGHT MINDS BIOSCIENCES INC.</w:t>
      </w:r>
    </w:p>
    <w:p>
      <w:pPr>
        <w:spacing w:after="0" w:line="32"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9"/>
          <w:szCs w:val="19"/>
          <w:color w:val="auto"/>
        </w:rPr>
        <w:t>(Translation of registrant's name into English)</w:t>
      </w:r>
    </w:p>
    <w:p>
      <w:pPr>
        <w:spacing w:after="0" w:line="200" w:lineRule="exact"/>
        <w:rPr>
          <w:sz w:val="24"/>
          <w:szCs w:val="24"/>
          <w:color w:val="auto"/>
        </w:rPr>
      </w:pPr>
    </w:p>
    <w:p>
      <w:pPr>
        <w:spacing w:after="0" w:line="225" w:lineRule="exact"/>
        <w:rPr>
          <w:sz w:val="24"/>
          <w:szCs w:val="24"/>
          <w:color w:val="auto"/>
        </w:rPr>
      </w:pPr>
    </w:p>
    <w:tbl>
      <w:tblPr>
        <w:tblLayout w:type="fixed"/>
        <w:tblInd w:w="940" w:type="dxa"/>
        <w:tblCellMar>
          <w:top w:w="0" w:type="dxa"/>
          <w:left w:w="0" w:type="dxa"/>
          <w:bottom w:w="0" w:type="dxa"/>
          <w:right w:w="0" w:type="dxa"/>
        </w:tblCellMar>
      </w:tblPr>
      <w:tr>
        <w:trPr>
          <w:trHeight w:val="222"/>
        </w:trPr>
        <w:tc>
          <w:tcPr>
            <w:tcW w:w="3200" w:type="dxa"/>
            <w:vAlign w:val="bottom"/>
            <w:gridSpan w:val="3"/>
          </w:tcPr>
          <w:p>
            <w:pPr>
              <w:spacing w:after="0"/>
              <w:rPr>
                <w:sz w:val="20"/>
                <w:szCs w:val="20"/>
                <w:color w:val="auto"/>
              </w:rPr>
            </w:pPr>
            <w:r>
              <w:rPr>
                <w:rFonts w:ascii="Times New Roman" w:cs="Times New Roman" w:eastAsia="Times New Roman" w:hAnsi="Times New Roman"/>
                <w:sz w:val="19"/>
                <w:szCs w:val="19"/>
                <w:b w:val="1"/>
                <w:bCs w:val="1"/>
                <w:color w:val="auto"/>
              </w:rPr>
              <w:t>400 N Aberdeen St Suite 900</w:t>
            </w:r>
          </w:p>
        </w:tc>
        <w:tc>
          <w:tcPr>
            <w:tcW w:w="1180" w:type="dxa"/>
            <w:vAlign w:val="bottom"/>
          </w:tcPr>
          <w:p>
            <w:pPr>
              <w:spacing w:after="0"/>
              <w:rPr>
                <w:sz w:val="19"/>
                <w:szCs w:val="19"/>
                <w:color w:val="auto"/>
              </w:rPr>
            </w:pPr>
          </w:p>
        </w:tc>
        <w:tc>
          <w:tcPr>
            <w:tcW w:w="2340" w:type="dxa"/>
            <w:vAlign w:val="bottom"/>
            <w:gridSpan w:val="2"/>
          </w:tcPr>
          <w:p>
            <w:pPr>
              <w:jc w:val="center"/>
              <w:ind w:right="340"/>
              <w:spacing w:after="0"/>
              <w:rPr>
                <w:sz w:val="20"/>
                <w:szCs w:val="20"/>
                <w:color w:val="auto"/>
              </w:rPr>
            </w:pPr>
            <w:r>
              <w:rPr>
                <w:rFonts w:ascii="Times New Roman" w:cs="Times New Roman" w:eastAsia="Times New Roman" w:hAnsi="Times New Roman"/>
                <w:sz w:val="19"/>
                <w:szCs w:val="19"/>
                <w:b w:val="1"/>
                <w:bCs w:val="1"/>
                <w:color w:val="auto"/>
              </w:rPr>
              <w:t>1122 Mainland St #228</w:t>
            </w:r>
          </w:p>
        </w:tc>
        <w:tc>
          <w:tcPr>
            <w:tcW w:w="0" w:type="dxa"/>
            <w:vAlign w:val="bottom"/>
          </w:tcPr>
          <w:p>
            <w:pPr>
              <w:spacing w:after="0"/>
              <w:rPr>
                <w:sz w:val="1"/>
                <w:szCs w:val="1"/>
                <w:color w:val="auto"/>
              </w:rPr>
            </w:pPr>
          </w:p>
        </w:tc>
      </w:tr>
      <w:tr>
        <w:trPr>
          <w:trHeight w:val="234"/>
        </w:trPr>
        <w:tc>
          <w:tcPr>
            <w:tcW w:w="3200" w:type="dxa"/>
            <w:vAlign w:val="bottom"/>
            <w:gridSpan w:val="3"/>
          </w:tcPr>
          <w:p>
            <w:pPr>
              <w:ind w:left="420"/>
              <w:spacing w:after="0"/>
              <w:rPr>
                <w:sz w:val="20"/>
                <w:szCs w:val="20"/>
                <w:color w:val="auto"/>
              </w:rPr>
            </w:pPr>
            <w:r>
              <w:rPr>
                <w:rFonts w:ascii="Times New Roman" w:cs="Times New Roman" w:eastAsia="Times New Roman" w:hAnsi="Times New Roman"/>
                <w:sz w:val="19"/>
                <w:szCs w:val="19"/>
                <w:b w:val="1"/>
                <w:bCs w:val="1"/>
                <w:color w:val="auto"/>
              </w:rPr>
              <w:t>Chicago, IL 60642</w:t>
            </w:r>
          </w:p>
        </w:tc>
        <w:tc>
          <w:tcPr>
            <w:tcW w:w="1180" w:type="dxa"/>
            <w:vAlign w:val="bottom"/>
          </w:tcPr>
          <w:p>
            <w:pPr>
              <w:spacing w:after="0"/>
              <w:rPr>
                <w:sz w:val="20"/>
                <w:szCs w:val="20"/>
                <w:color w:val="auto"/>
              </w:rPr>
            </w:pPr>
          </w:p>
        </w:tc>
        <w:tc>
          <w:tcPr>
            <w:tcW w:w="2340" w:type="dxa"/>
            <w:vAlign w:val="bottom"/>
            <w:gridSpan w:val="2"/>
          </w:tcPr>
          <w:p>
            <w:pPr>
              <w:jc w:val="center"/>
              <w:ind w:right="340"/>
              <w:spacing w:after="0"/>
              <w:rPr>
                <w:sz w:val="20"/>
                <w:szCs w:val="20"/>
                <w:color w:val="auto"/>
              </w:rPr>
            </w:pPr>
            <w:r>
              <w:rPr>
                <w:rFonts w:ascii="Times New Roman" w:cs="Times New Roman" w:eastAsia="Times New Roman" w:hAnsi="Times New Roman"/>
                <w:sz w:val="19"/>
                <w:szCs w:val="19"/>
                <w:b w:val="1"/>
                <w:bCs w:val="1"/>
                <w:color w:val="auto"/>
                <w:w w:val="99"/>
              </w:rPr>
              <w:t>Vancouver, BC V6B 5L1</w:t>
            </w:r>
          </w:p>
        </w:tc>
        <w:tc>
          <w:tcPr>
            <w:tcW w:w="0" w:type="dxa"/>
            <w:vAlign w:val="bottom"/>
          </w:tcPr>
          <w:p>
            <w:pPr>
              <w:spacing w:after="0"/>
              <w:rPr>
                <w:sz w:val="1"/>
                <w:szCs w:val="1"/>
                <w:color w:val="auto"/>
              </w:rPr>
            </w:pPr>
          </w:p>
        </w:tc>
      </w:tr>
      <w:tr>
        <w:trPr>
          <w:trHeight w:val="20"/>
        </w:trPr>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w w:val="99"/>
              </w:rPr>
              <w:t>(U.S.</w:t>
            </w:r>
          </w:p>
        </w:tc>
        <w:tc>
          <w:tcPr>
            <w:tcW w:w="14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0" w:type="dxa"/>
            <w:vAlign w:val="bottom"/>
            <w:vMerge w:val="continue"/>
          </w:tcPr>
          <w:p>
            <w:pPr>
              <w:spacing w:after="0"/>
              <w:rPr>
                <w:sz w:val="21"/>
                <w:szCs w:val="21"/>
                <w:color w:val="auto"/>
              </w:rPr>
            </w:pPr>
          </w:p>
        </w:tc>
        <w:tc>
          <w:tcPr>
            <w:tcW w:w="27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Corporate headquarters)</w:t>
            </w:r>
          </w:p>
        </w:tc>
        <w:tc>
          <w:tcPr>
            <w:tcW w:w="3520" w:type="dxa"/>
            <w:vAlign w:val="bottom"/>
            <w:gridSpan w:val="3"/>
          </w:tcPr>
          <w:p>
            <w:pPr>
              <w:jc w:val="center"/>
              <w:ind w:left="744"/>
              <w:spacing w:after="0"/>
              <w:rPr>
                <w:sz w:val="20"/>
                <w:szCs w:val="20"/>
                <w:color w:val="auto"/>
              </w:rPr>
            </w:pPr>
            <w:r>
              <w:rPr>
                <w:rFonts w:ascii="Times New Roman" w:cs="Times New Roman" w:eastAsia="Times New Roman" w:hAnsi="Times New Roman"/>
                <w:sz w:val="19"/>
                <w:szCs w:val="19"/>
                <w:color w:val="auto"/>
              </w:rPr>
              <w:t>(Canadian Corporate headquarters)</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 w:right="859"/>
        <w:spacing w:after="0" w:line="279" w:lineRule="auto"/>
        <w:rPr>
          <w:sz w:val="20"/>
          <w:szCs w:val="20"/>
          <w:color w:val="auto"/>
        </w:rPr>
      </w:pPr>
      <w:r>
        <w:rPr>
          <w:rFonts w:ascii="Times New Roman" w:cs="Times New Roman" w:eastAsia="Times New Roman" w:hAnsi="Times New Roman"/>
          <w:sz w:val="19"/>
          <w:szCs w:val="19"/>
          <w:color w:val="auto"/>
        </w:rPr>
        <w:t>Indicate by check mark whether the registrant files or will file annual reports under cover of Form 20-F or Form 40-F</w:t>
      </w:r>
    </w:p>
    <w:p>
      <w:pPr>
        <w:spacing w:after="0" w:line="14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9"/>
          <w:szCs w:val="19"/>
          <w:color w:val="auto"/>
        </w:rPr>
        <w:t xml:space="preserve">Form 20-F [ ] </w:t>
      </w:r>
      <w:r>
        <w:rPr>
          <w:rFonts w:ascii="Times New Roman" w:cs="Times New Roman" w:eastAsia="Times New Roman" w:hAnsi="Times New Roman"/>
          <w:sz w:val="19"/>
          <w:szCs w:val="19"/>
          <w:b w:val="1"/>
          <w:bCs w:val="1"/>
          <w:color w:val="auto"/>
        </w:rPr>
        <w:t>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525145</wp:posOffset>
            </wp:positionV>
            <wp:extent cx="535051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0510" cy="3302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1" w:name="page2"/>
    <w:bookmarkEnd w:id="1"/>
    <w:p>
      <w:pPr>
        <w:jc w:val="right"/>
        <w:ind w:right="3659"/>
        <w:spacing w:after="0"/>
        <w:rPr>
          <w:sz w:val="20"/>
          <w:szCs w:val="20"/>
          <w:color w:val="auto"/>
        </w:rPr>
      </w:pPr>
      <w:r>
        <w:rPr>
          <w:rFonts w:ascii="Times New Roman" w:cs="Times New Roman" w:eastAsia="Times New Roman" w:hAnsi="Times New Roman"/>
          <w:sz w:val="19"/>
          <w:szCs w:val="19"/>
          <w:b w:val="1"/>
          <w:bCs w:val="1"/>
          <w:color w:val="auto"/>
        </w:rPr>
        <w:t>SUBMITTED HEREWITH</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b w:val="1"/>
          <w:bCs w:val="1"/>
          <w:u w:val="single" w:color="auto"/>
          <w:color w:val="auto"/>
        </w:rPr>
        <w:t>Exhibits</w:t>
      </w:r>
    </w:p>
    <w:p>
      <w:pPr>
        <w:spacing w:after="0" w:line="137" w:lineRule="exact"/>
        <w:rPr>
          <w:sz w:val="20"/>
          <w:szCs w:val="20"/>
          <w:color w:val="auto"/>
        </w:rPr>
      </w:pPr>
    </w:p>
    <w:p>
      <w:pPr>
        <w:ind w:left="180"/>
        <w:spacing w:after="0"/>
        <w:tabs>
          <w:tab w:leader="none" w:pos="1120" w:val="left"/>
        </w:tabs>
        <w:rPr>
          <w:rFonts w:ascii="Times New Roman" w:cs="Times New Roman" w:eastAsia="Times New Roman" w:hAnsi="Times New Roman"/>
          <w:sz w:val="19"/>
          <w:szCs w:val="19"/>
          <w:color w:val="0000EE"/>
        </w:rPr>
      </w:pPr>
      <w:r>
        <w:rPr>
          <w:rFonts w:ascii="Times New Roman" w:cs="Times New Roman" w:eastAsia="Times New Roman" w:hAnsi="Times New Roman"/>
          <w:sz w:val="19"/>
          <w:szCs w:val="19"/>
          <w:color w:val="auto"/>
        </w:rPr>
        <w:t>99.1</w:t>
      </w:r>
      <w:r>
        <w:rPr>
          <w:sz w:val="20"/>
          <w:szCs w:val="20"/>
          <w:color w:val="auto"/>
        </w:rPr>
        <w:tab/>
      </w:r>
      <w:hyperlink r:id="rId9">
        <w:r>
          <w:rPr>
            <w:rFonts w:ascii="Times New Roman" w:cs="Times New Roman" w:eastAsia="Times New Roman" w:hAnsi="Times New Roman"/>
            <w:sz w:val="19"/>
            <w:szCs w:val="19"/>
            <w:color w:val="0000EE"/>
          </w:rPr>
          <w:t>News Release dated May 26,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182880</wp:posOffset>
            </wp:positionV>
            <wp:extent cx="5350510" cy="33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350510" cy="3302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8890</wp:posOffset>
            </wp:positionV>
            <wp:extent cx="1686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16" w:lineRule="exact"/>
        <w:rPr>
          <w:sz w:val="20"/>
          <w:szCs w:val="20"/>
          <w:color w:val="auto"/>
        </w:rPr>
      </w:pPr>
    </w:p>
    <w:p>
      <w:pPr>
        <w:ind w:left="140" w:right="919"/>
        <w:spacing w:after="0" w:line="279"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b w:val="1"/>
          <w:bCs w:val="1"/>
          <w:color w:val="auto"/>
        </w:rPr>
        <w:t>BRIGHT MINDS BIOSCIENCES INC.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i w:val="1"/>
          <w:iCs w:val="1"/>
          <w:u w:val="single" w:color="auto"/>
          <w:color w:val="auto"/>
        </w:rPr>
        <w:t>/s/ Ryan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18415</wp:posOffset>
            </wp:positionV>
            <wp:extent cx="781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81050" cy="8255"/>
                    </a:xfrm>
                    <a:prstGeom prst="rect">
                      <a:avLst/>
                    </a:prstGeom>
                    <a:noFill/>
                  </pic:spPr>
                </pic:pic>
              </a:graphicData>
            </a:graphic>
          </wp:anchor>
        </w:drawing>
      </w:r>
    </w:p>
    <w:p>
      <w:pPr>
        <w:spacing w:after="0" w:line="1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Ryan Cheung</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Chief Financial Officer</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9"/>
          <w:szCs w:val="19"/>
          <w:color w:val="auto"/>
        </w:rPr>
        <w:t>Date: May 27, 2026</w:t>
      </w:r>
    </w:p>
    <w:p>
      <w:pPr>
        <w:sectPr>
          <w:pgSz w:w="11900" w:h="16838" w:orient="portrait"/>
          <w:cols w:equalWidth="0" w:num="1">
            <w:col w:w="9019"/>
          </w:cols>
          <w:pgMar w:left="1440" w:top="114" w:right="1440" w:bottom="1440" w:gutter="0" w:footer="0" w:header="0"/>
        </w:sectPr>
      </w:pPr>
    </w:p>
    <w:bookmarkStart w:id="3" w:name="page4"/>
    <w:bookmarkEnd w:id="3"/>
    <w:p>
      <w:pPr>
        <w:ind w:left="140"/>
        <w:spacing w:after="0"/>
        <w:rPr>
          <w:sz w:val="20"/>
          <w:szCs w:val="20"/>
          <w:color w:val="auto"/>
        </w:rPr>
      </w:pPr>
      <w:r>
        <w:rPr>
          <w:rFonts w:ascii="Calibri" w:cs="Calibri" w:eastAsia="Calibri" w:hAnsi="Calibri"/>
          <w:sz w:val="21"/>
          <w:szCs w:val="21"/>
          <w:b w:val="1"/>
          <w:bCs w:val="1"/>
          <w:color w:val="auto"/>
        </w:rPr>
        <w:t>FOR IMMEDIATE RELEASE</w:t>
      </w:r>
    </w:p>
    <w:p>
      <w:pPr>
        <w:spacing w:after="0" w:line="200" w:lineRule="exact"/>
        <w:rPr>
          <w:sz w:val="20"/>
          <w:szCs w:val="20"/>
          <w:color w:val="auto"/>
        </w:rPr>
      </w:pPr>
    </w:p>
    <w:p>
      <w:pPr>
        <w:spacing w:after="0" w:line="248" w:lineRule="exact"/>
        <w:rPr>
          <w:sz w:val="20"/>
          <w:szCs w:val="20"/>
          <w:color w:val="auto"/>
        </w:rPr>
      </w:pPr>
    </w:p>
    <w:p>
      <w:pPr>
        <w:ind w:left="240"/>
        <w:spacing w:after="0"/>
        <w:rPr>
          <w:sz w:val="20"/>
          <w:szCs w:val="20"/>
          <w:color w:val="auto"/>
        </w:rPr>
      </w:pPr>
      <w:r>
        <w:rPr>
          <w:rFonts w:ascii="Calibri" w:cs="Calibri" w:eastAsia="Calibri" w:hAnsi="Calibri"/>
          <w:sz w:val="24"/>
          <w:szCs w:val="24"/>
          <w:b w:val="1"/>
          <w:bCs w:val="1"/>
          <w:color w:val="auto"/>
        </w:rPr>
        <w:t>Bright Minds Biosciences to Present at Jeferies Global Healthcare Conference</w:t>
      </w:r>
    </w:p>
    <w:p>
      <w:pPr>
        <w:spacing w:after="0" w:line="304" w:lineRule="exact"/>
        <w:rPr>
          <w:sz w:val="20"/>
          <w:szCs w:val="20"/>
          <w:color w:val="auto"/>
        </w:rPr>
      </w:pPr>
    </w:p>
    <w:p>
      <w:pPr>
        <w:ind w:left="140" w:right="1960"/>
        <w:spacing w:after="0" w:line="243" w:lineRule="auto"/>
        <w:rPr>
          <w:sz w:val="20"/>
          <w:szCs w:val="20"/>
          <w:color w:val="auto"/>
        </w:rPr>
      </w:pPr>
      <w:r>
        <w:rPr>
          <w:rFonts w:ascii="Calibri" w:cs="Calibri" w:eastAsia="Calibri" w:hAnsi="Calibri"/>
          <w:sz w:val="21"/>
          <w:szCs w:val="21"/>
          <w:color w:val="auto"/>
        </w:rPr>
        <w:t>New York City – May 26, 2026 – Bright Minds Biosciences, Inc. (“Bright Minds,” “BMB” or the “Company”) (NASDAQ: DRUG), a pioneering company focused on developing highly selectve 5-HT2 agonists for the treatment of drug-resistant epilepsy, Prader-Willi Syndrome, depression, and other central nervous system (CNS) disorders, today announced that the Company will present at the Jeferies Global Healthcare Conference as follows:</w:t>
      </w:r>
    </w:p>
    <w:p>
      <w:pPr>
        <w:spacing w:after="0" w:line="398" w:lineRule="exact"/>
        <w:rPr>
          <w:sz w:val="20"/>
          <w:szCs w:val="20"/>
          <w:color w:val="auto"/>
        </w:rPr>
      </w:pPr>
    </w:p>
    <w:tbl>
      <w:tblPr>
        <w:tblLayout w:type="fixed"/>
        <w:tblInd w:w="760"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Calibri" w:cs="Calibri" w:eastAsia="Calibri" w:hAnsi="Calibri"/>
                <w:sz w:val="21"/>
                <w:szCs w:val="21"/>
                <w:b w:val="1"/>
                <w:bCs w:val="1"/>
                <w:color w:val="auto"/>
              </w:rPr>
              <w:t>DATE:</w:t>
            </w:r>
          </w:p>
        </w:tc>
        <w:tc>
          <w:tcPr>
            <w:tcW w:w="8160" w:type="dxa"/>
            <w:vAlign w:val="bottom"/>
          </w:tcPr>
          <w:p>
            <w:pPr>
              <w:spacing w:after="0"/>
              <w:rPr>
                <w:sz w:val="20"/>
                <w:szCs w:val="20"/>
                <w:color w:val="auto"/>
              </w:rPr>
            </w:pPr>
            <w:r>
              <w:rPr>
                <w:rFonts w:ascii="Calibri" w:cs="Calibri" w:eastAsia="Calibri" w:hAnsi="Calibri"/>
                <w:sz w:val="21"/>
                <w:szCs w:val="21"/>
                <w:color w:val="auto"/>
              </w:rPr>
              <w:t>Wednesday, June 3, 2026</w:t>
            </w:r>
          </w:p>
        </w:tc>
      </w:tr>
      <w:tr>
        <w:trPr>
          <w:trHeight w:val="262"/>
        </w:trPr>
        <w:tc>
          <w:tcPr>
            <w:tcW w:w="1260" w:type="dxa"/>
            <w:vAlign w:val="bottom"/>
          </w:tcPr>
          <w:p>
            <w:pPr>
              <w:spacing w:after="0"/>
              <w:rPr>
                <w:sz w:val="20"/>
                <w:szCs w:val="20"/>
                <w:color w:val="auto"/>
              </w:rPr>
            </w:pPr>
            <w:r>
              <w:rPr>
                <w:rFonts w:ascii="Calibri" w:cs="Calibri" w:eastAsia="Calibri" w:hAnsi="Calibri"/>
                <w:sz w:val="21"/>
                <w:szCs w:val="21"/>
                <w:b w:val="1"/>
                <w:bCs w:val="1"/>
                <w:color w:val="auto"/>
              </w:rPr>
              <w:t>TIME:</w:t>
            </w:r>
          </w:p>
        </w:tc>
        <w:tc>
          <w:tcPr>
            <w:tcW w:w="8160" w:type="dxa"/>
            <w:vAlign w:val="bottom"/>
          </w:tcPr>
          <w:p>
            <w:pPr>
              <w:spacing w:after="0"/>
              <w:rPr>
                <w:sz w:val="20"/>
                <w:szCs w:val="20"/>
                <w:color w:val="auto"/>
              </w:rPr>
            </w:pPr>
            <w:r>
              <w:rPr>
                <w:rFonts w:ascii="Calibri" w:cs="Calibri" w:eastAsia="Calibri" w:hAnsi="Calibri"/>
                <w:sz w:val="21"/>
                <w:szCs w:val="21"/>
                <w:color w:val="auto"/>
              </w:rPr>
              <w:t>4:20PM EDT</w:t>
            </w:r>
          </w:p>
        </w:tc>
      </w:tr>
      <w:tr>
        <w:trPr>
          <w:trHeight w:val="262"/>
        </w:trPr>
        <w:tc>
          <w:tcPr>
            <w:tcW w:w="1260" w:type="dxa"/>
            <w:vAlign w:val="bottom"/>
          </w:tcPr>
          <w:p>
            <w:pPr>
              <w:spacing w:after="0"/>
              <w:rPr>
                <w:sz w:val="20"/>
                <w:szCs w:val="20"/>
                <w:color w:val="auto"/>
              </w:rPr>
            </w:pPr>
            <w:r>
              <w:rPr>
                <w:rFonts w:ascii="Calibri" w:cs="Calibri" w:eastAsia="Calibri" w:hAnsi="Calibri"/>
                <w:sz w:val="21"/>
                <w:szCs w:val="21"/>
                <w:b w:val="1"/>
                <w:bCs w:val="1"/>
                <w:color w:val="auto"/>
              </w:rPr>
              <w:t>WEBCAST:</w:t>
            </w:r>
          </w:p>
        </w:tc>
        <w:tc>
          <w:tcPr>
            <w:tcW w:w="8160" w:type="dxa"/>
            <w:vAlign w:val="bottom"/>
            <w:tcBorders>
              <w:bottom w:val="single" w:sz="8" w:color="467886"/>
            </w:tcBorders>
          </w:tcPr>
          <w:p>
            <w:pPr>
              <w:spacing w:after="0"/>
              <w:rPr>
                <w:sz w:val="20"/>
                <w:szCs w:val="20"/>
                <w:color w:val="auto"/>
              </w:rPr>
            </w:pPr>
            <w:r>
              <w:rPr>
                <w:rFonts w:ascii="Calibri" w:cs="Calibri" w:eastAsia="Calibri" w:hAnsi="Calibri"/>
                <w:sz w:val="21"/>
                <w:szCs w:val="21"/>
                <w:color w:val="467886"/>
                <w:w w:val="99"/>
              </w:rPr>
              <w:t>htps://event.summitcast.com/view/NgCqua4VVQjq9ibVWHVWca/bvVWVgeHmHjUbuFuDEjCS8</w:t>
            </w:r>
          </w:p>
        </w:tc>
      </w:tr>
    </w:tbl>
    <w:p>
      <w:pPr>
        <w:spacing w:after="0" w:line="200" w:lineRule="exact"/>
        <w:rPr>
          <w:sz w:val="20"/>
          <w:szCs w:val="20"/>
          <w:color w:val="auto"/>
        </w:rPr>
      </w:pPr>
    </w:p>
    <w:p>
      <w:pPr>
        <w:sectPr>
          <w:pgSz w:w="11900" w:h="16838" w:orient="portrait"/>
          <w:cols w:equalWidth="0" w:num="1">
            <w:col w:w="10180"/>
          </w:cols>
          <w:pgMar w:left="1440" w:top="118" w:right="279" w:bottom="1440" w:gutter="0" w:footer="0" w:header="0"/>
        </w:sectPr>
      </w:pPr>
    </w:p>
    <w:p>
      <w:pPr>
        <w:spacing w:after="0" w:line="59" w:lineRule="exact"/>
        <w:rPr>
          <w:sz w:val="20"/>
          <w:szCs w:val="20"/>
          <w:color w:val="auto"/>
        </w:rPr>
      </w:pPr>
    </w:p>
    <w:p>
      <w:pPr>
        <w:jc w:val="both"/>
        <w:ind w:left="140"/>
        <w:spacing w:after="0" w:line="242" w:lineRule="auto"/>
        <w:rPr>
          <w:sz w:val="20"/>
          <w:szCs w:val="20"/>
          <w:color w:val="auto"/>
        </w:rPr>
      </w:pPr>
      <w:r>
        <w:rPr>
          <w:rFonts w:ascii="Calibri" w:cs="Calibri" w:eastAsia="Calibri" w:hAnsi="Calibri"/>
          <w:sz w:val="21"/>
          <w:szCs w:val="21"/>
          <w:color w:val="auto"/>
        </w:rPr>
        <w:t xml:space="preserve">The live and archived webcast will be </w:t>
      </w:r>
      <w:r>
        <w:rPr>
          <w:rFonts w:ascii="Calibri" w:cs="Calibri" w:eastAsia="Calibri" w:hAnsi="Calibri"/>
          <w:sz w:val="21"/>
          <w:szCs w:val="21"/>
          <w:u w:val="single" w:color="auto"/>
          <w:color w:val="467886"/>
        </w:rPr>
        <w:t>htps://brightmindsbio.com/investors/</w:t>
      </w:r>
      <w:r>
        <w:rPr>
          <w:rFonts w:ascii="Calibri" w:cs="Calibri" w:eastAsia="Calibri" w:hAnsi="Calibri"/>
          <w:sz w:val="21"/>
          <w:szCs w:val="21"/>
          <w:color w:val="467886"/>
        </w:rPr>
        <w:t xml:space="preserve"> </w:t>
      </w:r>
      <w:r>
        <w:rPr>
          <w:rFonts w:ascii="Calibri" w:cs="Calibri" w:eastAsia="Calibri" w:hAnsi="Calibri"/>
          <w:sz w:val="21"/>
          <w:szCs w:val="21"/>
          <w:color w:val="000000"/>
        </w:rPr>
        <w:t>under</w:t>
      </w:r>
      <w:r>
        <w:rPr>
          <w:rFonts w:ascii="Calibri" w:cs="Calibri" w:eastAsia="Calibri" w:hAnsi="Calibri"/>
          <w:sz w:val="21"/>
          <w:szCs w:val="21"/>
          <w:color w:val="467886"/>
        </w:rPr>
        <w:t xml:space="preserve"> </w:t>
      </w:r>
      <w:r>
        <w:rPr>
          <w:rFonts w:ascii="Calibri" w:cs="Calibri" w:eastAsia="Calibri" w:hAnsi="Calibri"/>
          <w:sz w:val="21"/>
          <w:szCs w:val="21"/>
          <w:color w:val="000000"/>
        </w:rPr>
        <w:t>webcast will be accessible for 30 days.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880" w:hanging="31"/>
        <w:spacing w:after="0" w:line="239" w:lineRule="auto"/>
        <w:rPr>
          <w:sz w:val="20"/>
          <w:szCs w:val="20"/>
          <w:color w:val="auto"/>
        </w:rPr>
      </w:pPr>
      <w:r>
        <w:rPr>
          <w:rFonts w:ascii="Calibri" w:cs="Calibri" w:eastAsia="Calibri" w:hAnsi="Calibri"/>
          <w:sz w:val="21"/>
          <w:szCs w:val="21"/>
          <w:color w:val="auto"/>
        </w:rPr>
        <w:t>accessible</w:t>
      </w:r>
      <w:r>
        <w:rPr>
          <w:sz w:val="20"/>
          <w:szCs w:val="20"/>
          <w:color w:val="auto"/>
        </w:rPr>
        <w:t xml:space="preserve"> </w:t>
      </w:r>
      <w:r>
        <w:rPr>
          <w:rFonts w:ascii="Calibri" w:cs="Calibri" w:eastAsia="Calibri" w:hAnsi="Calibri"/>
          <w:sz w:val="21"/>
          <w:szCs w:val="21"/>
          <w:color w:val="auto"/>
        </w:rPr>
        <w:t>from the Company’s website at Events and Presentaton. The replay of the</w:t>
      </w:r>
    </w:p>
    <w:p>
      <w:pPr>
        <w:spacing w:after="0" w:line="417" w:lineRule="exact"/>
        <w:rPr>
          <w:sz w:val="20"/>
          <w:szCs w:val="20"/>
          <w:color w:val="auto"/>
        </w:rPr>
      </w:pPr>
    </w:p>
    <w:p>
      <w:pPr>
        <w:sectPr>
          <w:pgSz w:w="11900" w:h="16838" w:orient="portrait"/>
          <w:cols w:equalWidth="0" w:num="2">
            <w:col w:w="4060" w:space="140"/>
            <w:col w:w="5980"/>
          </w:cols>
          <w:pgMar w:left="1440" w:top="118" w:right="279" w:bottom="1440" w:gutter="0" w:footer="0" w:header="0"/>
          <w:type w:val="continuous"/>
        </w:sectPr>
      </w:pPr>
    </w:p>
    <w:p>
      <w:pPr>
        <w:jc w:val="both"/>
        <w:ind w:left="140" w:right="1880"/>
        <w:spacing w:after="0" w:line="243" w:lineRule="auto"/>
        <w:rPr>
          <w:sz w:val="20"/>
          <w:szCs w:val="20"/>
          <w:color w:val="auto"/>
        </w:rPr>
      </w:pPr>
      <w:r>
        <w:rPr>
          <w:rFonts w:ascii="Calibri" w:cs="Calibri" w:eastAsia="Calibri" w:hAnsi="Calibri"/>
          <w:sz w:val="21"/>
          <w:szCs w:val="21"/>
          <w:color w:val="auto"/>
        </w:rPr>
        <w:t>Bright Minds further releases that the Company has granted stock optons (the “</w:t>
      </w:r>
      <w:r>
        <w:rPr>
          <w:rFonts w:ascii="Calibri" w:cs="Calibri" w:eastAsia="Calibri" w:hAnsi="Calibri"/>
          <w:sz w:val="21"/>
          <w:szCs w:val="21"/>
          <w:b w:val="1"/>
          <w:bCs w:val="1"/>
          <w:color w:val="auto"/>
        </w:rPr>
        <w:t>Optons</w:t>
      </w:r>
      <w:r>
        <w:rPr>
          <w:rFonts w:ascii="Calibri" w:cs="Calibri" w:eastAsia="Calibri" w:hAnsi="Calibri"/>
          <w:sz w:val="21"/>
          <w:szCs w:val="21"/>
          <w:color w:val="auto"/>
        </w:rPr>
        <w:t>”) to certain directors, ofcers and consultants of the Company to purchase an aggregate of 109,000 common shares in the capital of the Company (the “</w:t>
      </w:r>
      <w:r>
        <w:rPr>
          <w:rFonts w:ascii="Calibri" w:cs="Calibri" w:eastAsia="Calibri" w:hAnsi="Calibri"/>
          <w:sz w:val="21"/>
          <w:szCs w:val="21"/>
          <w:b w:val="1"/>
          <w:bCs w:val="1"/>
          <w:color w:val="auto"/>
        </w:rPr>
        <w:t>Shares</w:t>
      </w:r>
      <w:r>
        <w:rPr>
          <w:rFonts w:ascii="Calibri" w:cs="Calibri" w:eastAsia="Calibri" w:hAnsi="Calibri"/>
          <w:sz w:val="21"/>
          <w:szCs w:val="21"/>
          <w:color w:val="auto"/>
        </w:rPr>
        <w:t>”) pursuant to the Company's share opton plan. The Optons are exercisable at a price of US$83.40 per Share for a period of fve (5) years from the date of grant. The Optons vest in four (4) equal annual instalments of 25% each, commencing on the frst anniversary of the date of grant.</w:t>
      </w:r>
    </w:p>
    <w:p>
      <w:pPr>
        <w:spacing w:after="0" w:line="151" w:lineRule="exact"/>
        <w:rPr>
          <w:sz w:val="20"/>
          <w:szCs w:val="20"/>
          <w:color w:val="auto"/>
        </w:rPr>
      </w:pPr>
    </w:p>
    <w:p>
      <w:pPr>
        <w:ind w:left="140"/>
        <w:spacing w:after="0"/>
        <w:rPr>
          <w:sz w:val="20"/>
          <w:szCs w:val="20"/>
          <w:color w:val="auto"/>
        </w:rPr>
      </w:pPr>
      <w:r>
        <w:rPr>
          <w:rFonts w:ascii="Calibri" w:cs="Calibri" w:eastAsia="Calibri" w:hAnsi="Calibri"/>
          <w:sz w:val="21"/>
          <w:szCs w:val="21"/>
          <w:b w:val="1"/>
          <w:bCs w:val="1"/>
          <w:color w:val="auto"/>
        </w:rPr>
        <w:t>About Bright Minds Biosciences</w:t>
      </w:r>
    </w:p>
    <w:p>
      <w:pPr>
        <w:spacing w:after="0" w:line="142" w:lineRule="exact"/>
        <w:rPr>
          <w:sz w:val="20"/>
          <w:szCs w:val="20"/>
          <w:color w:val="auto"/>
        </w:rPr>
      </w:pPr>
    </w:p>
    <w:p>
      <w:pPr>
        <w:ind w:left="140" w:right="2060"/>
        <w:spacing w:after="0" w:line="243" w:lineRule="auto"/>
        <w:rPr>
          <w:sz w:val="20"/>
          <w:szCs w:val="20"/>
          <w:color w:val="auto"/>
        </w:rPr>
      </w:pPr>
      <w:r>
        <w:rPr>
          <w:rFonts w:ascii="Calibri" w:cs="Calibri" w:eastAsia="Calibri" w:hAnsi="Calibri"/>
          <w:sz w:val="21"/>
          <w:szCs w:val="21"/>
          <w:color w:val="auto"/>
        </w:rPr>
        <w:t>Bright Minds is a biotechnology company developing innovatve treatments for patents with neurological and psychiatric disorders. Our pipeline includes novel compounds targetng key receptors in the brain to address conditons with high unmet medical need, including epilepsy, Prader-Willi Syndrome, depression, and other CNS disorders. Bright Minds is focused on delivering breakthrough therapies that can transform patents' lives.</w:t>
      </w:r>
    </w:p>
    <w:p>
      <w:pPr>
        <w:spacing w:after="0" w:line="154" w:lineRule="exact"/>
        <w:rPr>
          <w:sz w:val="20"/>
          <w:szCs w:val="20"/>
          <w:color w:val="auto"/>
        </w:rPr>
      </w:pPr>
    </w:p>
    <w:p>
      <w:pPr>
        <w:ind w:left="140" w:right="2240"/>
        <w:spacing w:after="0" w:line="242" w:lineRule="auto"/>
        <w:rPr>
          <w:sz w:val="20"/>
          <w:szCs w:val="20"/>
          <w:color w:val="auto"/>
        </w:rPr>
      </w:pPr>
      <w:r>
        <w:rPr>
          <w:rFonts w:ascii="Calibri" w:cs="Calibri" w:eastAsia="Calibri" w:hAnsi="Calibri"/>
          <w:sz w:val="21"/>
          <w:szCs w:val="21"/>
          <w:color w:val="auto"/>
        </w:rPr>
        <w:t>Bright Minds has developed a unique platorm of highly selectve serotonergic agonists exhibitng selectvity at diferent serotonergic receptors. This has provided a rich portolio of NCE programs within neurology and psychiatry.</w:t>
      </w:r>
    </w:p>
    <w:p>
      <w:pPr>
        <w:spacing w:after="0" w:line="148" w:lineRule="exact"/>
        <w:rPr>
          <w:sz w:val="20"/>
          <w:szCs w:val="20"/>
          <w:color w:val="auto"/>
        </w:rPr>
      </w:pPr>
    </w:p>
    <w:p>
      <w:pPr>
        <w:ind w:left="140"/>
        <w:spacing w:after="0"/>
        <w:rPr>
          <w:sz w:val="20"/>
          <w:szCs w:val="20"/>
          <w:color w:val="auto"/>
        </w:rPr>
      </w:pPr>
      <w:r>
        <w:rPr>
          <w:rFonts w:ascii="Calibri" w:cs="Calibri" w:eastAsia="Calibri" w:hAnsi="Calibri"/>
          <w:sz w:val="21"/>
          <w:szCs w:val="21"/>
          <w:b w:val="1"/>
          <w:bCs w:val="1"/>
          <w:color w:val="auto"/>
        </w:rPr>
        <w:t>Contact Informaton</w:t>
      </w:r>
    </w:p>
    <w:p>
      <w:pPr>
        <w:spacing w:after="0" w:line="136" w:lineRule="exact"/>
        <w:rPr>
          <w:sz w:val="20"/>
          <w:szCs w:val="20"/>
          <w:color w:val="auto"/>
        </w:rPr>
      </w:pPr>
    </w:p>
    <w:p>
      <w:pPr>
        <w:ind w:left="140"/>
        <w:spacing w:after="0"/>
        <w:rPr>
          <w:sz w:val="20"/>
          <w:szCs w:val="20"/>
          <w:color w:val="auto"/>
        </w:rPr>
      </w:pPr>
      <w:r>
        <w:rPr>
          <w:rFonts w:ascii="Calibri" w:cs="Calibri" w:eastAsia="Calibri" w:hAnsi="Calibri"/>
          <w:sz w:val="21"/>
          <w:szCs w:val="21"/>
          <w:color w:val="auto"/>
        </w:rPr>
        <w:t>Investor Relatons</w:t>
      </w:r>
    </w:p>
    <w:p>
      <w:pPr>
        <w:spacing w:after="0" w:line="5" w:lineRule="exact"/>
        <w:rPr>
          <w:sz w:val="20"/>
          <w:szCs w:val="20"/>
          <w:color w:val="auto"/>
        </w:rPr>
      </w:pPr>
    </w:p>
    <w:p>
      <w:pPr>
        <w:ind w:left="140"/>
        <w:spacing w:after="0"/>
        <w:rPr>
          <w:sz w:val="20"/>
          <w:szCs w:val="20"/>
          <w:color w:val="auto"/>
        </w:rPr>
      </w:pPr>
      <w:r>
        <w:rPr>
          <w:rFonts w:ascii="Calibri" w:cs="Calibri" w:eastAsia="Calibri" w:hAnsi="Calibri"/>
          <w:sz w:val="21"/>
          <w:szCs w:val="21"/>
          <w:color w:val="auto"/>
        </w:rPr>
        <w:t>Lisa M. Wilson</w:t>
      </w:r>
    </w:p>
    <w:p>
      <w:pPr>
        <w:spacing w:after="0" w:line="5" w:lineRule="exact"/>
        <w:rPr>
          <w:sz w:val="20"/>
          <w:szCs w:val="20"/>
          <w:color w:val="auto"/>
        </w:rPr>
      </w:pPr>
    </w:p>
    <w:p>
      <w:pPr>
        <w:ind w:left="140"/>
        <w:spacing w:after="0"/>
        <w:rPr>
          <w:sz w:val="20"/>
          <w:szCs w:val="20"/>
          <w:color w:val="auto"/>
        </w:rPr>
      </w:pPr>
      <w:r>
        <w:rPr>
          <w:rFonts w:ascii="Calibri" w:cs="Calibri" w:eastAsia="Calibri" w:hAnsi="Calibri"/>
          <w:sz w:val="21"/>
          <w:szCs w:val="21"/>
          <w:color w:val="auto"/>
        </w:rPr>
        <w:t>T: 212-452-2793</w:t>
      </w:r>
    </w:p>
    <w:p>
      <w:pPr>
        <w:spacing w:after="0" w:line="5" w:lineRule="exact"/>
        <w:rPr>
          <w:sz w:val="20"/>
          <w:szCs w:val="20"/>
          <w:color w:val="auto"/>
        </w:rPr>
      </w:pPr>
    </w:p>
    <w:p>
      <w:pPr>
        <w:ind w:left="340" w:hanging="199"/>
        <w:spacing w:after="0"/>
        <w:tabs>
          <w:tab w:leader="none" w:pos="340" w:val="left"/>
        </w:tabs>
        <w:numPr>
          <w:ilvl w:val="0"/>
          <w:numId w:val="1"/>
        </w:numPr>
        <w:rPr>
          <w:rFonts w:ascii="Calibri" w:cs="Calibri" w:eastAsia="Calibri" w:hAnsi="Calibri"/>
          <w:sz w:val="21"/>
          <w:szCs w:val="21"/>
          <w:color w:val="auto"/>
        </w:rPr>
      </w:pPr>
      <w:r>
        <w:rPr>
          <w:rFonts w:ascii="Calibri" w:cs="Calibri" w:eastAsia="Calibri" w:hAnsi="Calibri"/>
          <w:sz w:val="21"/>
          <w:szCs w:val="21"/>
          <w:u w:val="single" w:color="auto"/>
          <w:color w:val="467886"/>
        </w:rPr>
        <w:t>lwilson@insitecony.com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107950</wp:posOffset>
            </wp:positionV>
            <wp:extent cx="518414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5184140" cy="33020"/>
                    </a:xfrm>
                    <a:prstGeom prst="rect">
                      <a:avLst/>
                    </a:prstGeom>
                    <a:noFill/>
                  </pic:spPr>
                </pic:pic>
              </a:graphicData>
            </a:graphic>
          </wp:anchor>
        </w:drawing>
      </w:r>
    </w:p>
    <w:p>
      <w:pPr>
        <w:sectPr>
          <w:pgSz w:w="11900" w:h="16838" w:orient="portrait"/>
          <w:cols w:equalWidth="0" w:num="1">
            <w:col w:w="10180"/>
          </w:cols>
          <w:pgMar w:left="1440" w:top="118" w:right="279" w:bottom="1440" w:gutter="0" w:footer="0" w:header="0"/>
          <w:type w:val="continuous"/>
        </w:sectPr>
      </w:pPr>
    </w:p>
    <w:bookmarkStart w:id="4" w:name="page5"/>
    <w:bookmarkEnd w:id="4"/>
    <w:p>
      <w:pPr>
        <w:ind w:left="140"/>
        <w:spacing w:after="0"/>
        <w:rPr>
          <w:sz w:val="20"/>
          <w:szCs w:val="20"/>
          <w:color w:val="auto"/>
        </w:rPr>
      </w:pPr>
      <w:r>
        <w:rPr>
          <w:rFonts w:ascii="Calibri" w:cs="Calibri" w:eastAsia="Calibri" w:hAnsi="Calibri"/>
          <w:sz w:val="21"/>
          <w:szCs w:val="21"/>
          <w:color w:val="auto"/>
        </w:rPr>
        <w:t>Alex Vasilkevich</w:t>
      </w:r>
    </w:p>
    <w:p>
      <w:pPr>
        <w:spacing w:after="0" w:line="5" w:lineRule="exact"/>
        <w:rPr>
          <w:sz w:val="20"/>
          <w:szCs w:val="20"/>
          <w:color w:val="auto"/>
        </w:rPr>
      </w:pPr>
    </w:p>
    <w:p>
      <w:pPr>
        <w:ind w:left="140"/>
        <w:spacing w:after="0"/>
        <w:rPr>
          <w:sz w:val="20"/>
          <w:szCs w:val="20"/>
          <w:color w:val="auto"/>
        </w:rPr>
      </w:pPr>
      <w:r>
        <w:rPr>
          <w:rFonts w:ascii="Calibri" w:cs="Calibri" w:eastAsia="Calibri" w:hAnsi="Calibri"/>
          <w:sz w:val="21"/>
          <w:szCs w:val="21"/>
          <w:color w:val="auto"/>
        </w:rPr>
        <w:t>Chief Operatng Ofcer</w:t>
      </w:r>
    </w:p>
    <w:p>
      <w:pPr>
        <w:spacing w:after="0" w:line="11" w:lineRule="exact"/>
        <w:rPr>
          <w:sz w:val="20"/>
          <w:szCs w:val="20"/>
          <w:color w:val="auto"/>
        </w:rPr>
      </w:pPr>
    </w:p>
    <w:p>
      <w:pPr>
        <w:ind w:left="140"/>
        <w:spacing w:after="0"/>
        <w:rPr>
          <w:sz w:val="20"/>
          <w:szCs w:val="20"/>
          <w:color w:val="auto"/>
        </w:rPr>
      </w:pPr>
      <w:r>
        <w:rPr>
          <w:rFonts w:ascii="Calibri" w:cs="Calibri" w:eastAsia="Calibri" w:hAnsi="Calibri"/>
          <w:sz w:val="20"/>
          <w:szCs w:val="20"/>
          <w:color w:val="auto"/>
        </w:rPr>
        <w:t>Bright Minds Biosciences Inc.</w:t>
      </w:r>
    </w:p>
    <w:p>
      <w:pPr>
        <w:spacing w:after="0" w:line="12" w:lineRule="exact"/>
        <w:rPr>
          <w:sz w:val="20"/>
          <w:szCs w:val="20"/>
          <w:color w:val="auto"/>
        </w:rPr>
      </w:pPr>
    </w:p>
    <w:p>
      <w:pPr>
        <w:ind w:left="140"/>
        <w:spacing w:after="0"/>
        <w:rPr>
          <w:sz w:val="20"/>
          <w:szCs w:val="20"/>
          <w:color w:val="auto"/>
        </w:rPr>
      </w:pPr>
      <w:r>
        <w:rPr>
          <w:rFonts w:ascii="Calibri" w:cs="Calibri" w:eastAsia="Calibri" w:hAnsi="Calibri"/>
          <w:sz w:val="21"/>
          <w:szCs w:val="21"/>
          <w:color w:val="auto"/>
        </w:rPr>
        <w:t>T: 414-731-6422</w:t>
      </w:r>
    </w:p>
    <w:p>
      <w:pPr>
        <w:spacing w:after="0" w:line="5" w:lineRule="exact"/>
        <w:rPr>
          <w:sz w:val="20"/>
          <w:szCs w:val="20"/>
          <w:color w:val="auto"/>
        </w:rPr>
      </w:pPr>
    </w:p>
    <w:p>
      <w:pPr>
        <w:ind w:left="340" w:hanging="199"/>
        <w:spacing w:after="0"/>
        <w:tabs>
          <w:tab w:leader="none" w:pos="340" w:val="left"/>
        </w:tabs>
        <w:numPr>
          <w:ilvl w:val="0"/>
          <w:numId w:val="2"/>
        </w:numPr>
        <w:rPr>
          <w:rFonts w:ascii="Calibri" w:cs="Calibri" w:eastAsia="Calibri" w:hAnsi="Calibri"/>
          <w:sz w:val="21"/>
          <w:szCs w:val="21"/>
          <w:color w:val="auto"/>
        </w:rPr>
      </w:pPr>
      <w:r>
        <w:rPr>
          <w:rFonts w:ascii="Calibri" w:cs="Calibri" w:eastAsia="Calibri" w:hAnsi="Calibri"/>
          <w:sz w:val="21"/>
          <w:szCs w:val="21"/>
          <w:u w:val="single" w:color="auto"/>
          <w:color w:val="467886"/>
        </w:rPr>
        <w:t>alex@brightmindsbio.com</w:t>
      </w:r>
    </w:p>
    <w:sectPr>
      <w:pgSz w:w="11900" w:h="16838" w:orient="portrait"/>
      <w:cols w:equalWidth="0" w:num="1">
        <w:col w:w="9019"/>
      </w:cols>
      <w:pgMar w:left="1440" w:top="5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5"/>
    </w:lvl>
  </w:abstractNum>
  <w:abstractNum w:abstractNumId="1">
    <w:nsid w:val="66334873"/>
    <w:multiLevelType w:val="hybridMultilevel"/>
    <w:lvl w:ilvl="0">
      <w:lvlJc w:val="left"/>
      <w:lvlText w:val="%1:"/>
      <w:numFmt w:val="upp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9" Type="http://schemas.openxmlformats.org/officeDocument/2006/relationships/hyperlink" Target="file:///data/convert/ex991-202605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2026-05-28T05:21:28Z</dcterms:created>
  <dcterms:modified xsi:type="dcterms:W3CDTF">2026-05-28T05:21:28Z</dcterms:modified>
</cp:coreProperties>
</file>